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2012/8 vom 28. Februar 2013</w:t>
      </w:r>
    </w:p>
    <w:p>
      <w:r>
        <w:t>Sg Versicherungsgericht, 2013-02-28, DE</w:t>
      </w:r>
    </w:p>
    <w:p>
      <w:r>
        <w:rPr>
          <w:b/>
        </w:rPr>
        <w:t xml:space="preserve">Quelle: </w:t>
      </w:r>
      <w:r>
        <w:t>https://mcp.opencaselaw.ch/entscheid/sg_publikationen_IV 2012_8</w:t>
      </w:r>
    </w:p>
    <w:p>
      <w:r>
        <w:t>FR: SG_VERSICHERUNGSGERICHT IV 2012/8 du 28 février 2013</w:t>
      </w:r>
    </w:p>
    <w:p>
      <w:r>
        <w:t>IT: SG_VERSICHERUNGSGERICHT IV 2012/8 del 28 febbraio 2013</w:t>
      </w:r>
    </w:p>
    <w:p>
      <w:pPr>
        <w:pStyle w:val="Heading2"/>
      </w:pPr>
      <w:r>
        <w:t>Regeste</w:t>
      </w:r>
    </w:p>
    <w:p>
      <w:r>
        <w:t>Art. 17 ATSG. Art. 43 ATSG. Revision. Beweiswert versicherungsinterner medizinischer Berichte. Hüftoperation als Anpassungsgrund. Zweifel an der Zuverlässigkeit eines RAD-Berichts. Notwendigkeit der Einholung eines versicherungsexternen Gutachtens (Entscheid des Versicherungsgerichts des Kantons St.Gallen vom 28. Februar 2013, IV 2012/8).</w:t>
      </w:r>
    </w:p>
    <w:p>
      <w:pPr>
        <w:pStyle w:val="Heading2"/>
      </w:pPr>
      <w:r>
        <w:t>Erwägungen</w:t>
      </w:r>
    </w:p>
    <w:p>
      <w:r>
        <w:rPr>
          <w:b/>
        </w:rPr>
        <w:t>E. 1</w:t>
      </w:r>
    </w:p>
    <w:p>
      <w:r>
        <w:t>Gemäss Art. 17 Abs. 1 des Bundesgesetzes über den Allgemeinen Teil des Sozial­versicherungsrechts (ATSG; SR 830.1) wird eine (formell rechtskräftig zugesprochene) Rente von Amtes wegen oder auf Gesuch hin für die Zukunft entsprechend erhöht, herabgesetzt oder aufgehoben, wenn sich der Invaliditätsgrad der die Rente be­ziehenden Person erheblich ändert. Massgebend sind diesbezüglich Veränderungen des der Rente zugrunde liegenden Sachverhaltes (vgl. Art. 17 Abs. 2 ATSG). Dieses Instrument zur (nachträglichen) Korrektur einer formell rechtskräftig zugesprochenen Dauerleistung ist notwendig, weil sich jede Zusprache einer Dauerleistung für die Zukunft auf eine Sachverhaltsprognose stützt, und weil sich der massgebende Sachver­halt erfahrungsgemäss anders entwickeln kann als prognostiziert. Mittels der Revision im Sinne von Art. 17 ATSG soll daher nachträglichen Divergenzen zwischen der der leistungszusprechenden Verfügung zugrunde liegenden Sachverhaltsprognose und dem effektiven Sachverhalt Rechnung getragen werden. Die Leistung soll an den ver­änderten Sachverhalt angepasst werden (vgl. Ralph Jöhl, Die Revision nach Art. 17 ATSG, in: Ueli Kieser/Miriam Lendfers (Hrsg.), Jahrbuch zum Sozialversicherungs­recht, 2012, S. 155 f.).</w:t>
      </w:r>
    </w:p>
    <w:p>
      <w:r>
        <w:rPr>
          <w:b/>
        </w:rPr>
        <w:t>E. 2</w:t>
      </w:r>
    </w:p>
    <w:p>
      <w:r>
        <w:t>2.1    Der rentenzusprechenden Verfügung vom 27. Oktober 1997 lag in medizinischer Hinsicht insbesondere das Gutachten von Dr. B.___ vom 1. Juli 1997 zugrunde, in welchem ausgeführt worden war, es bleibe eine vollständige Arbeitsunfähigkeit auch für leidensadaptierte Tätigkeiten bestehen, wenn keine Hüft-Totalendoprothese implantiert werde. Mit der Implantation einer Hüft-Totalendoprothese im Oktober 2008 verlor diese Prognose ab dann ihre Gültigkeit; der effektive Sachverhalt entwickelte sich ab diesem Zeitpunkt anders als prognostiziert. Die Operation ist damit ohne Weiteres als wesent­liche Veränderung des relevanten Sachverhalts zu qualifizieren, welche die Über­prüfung, ob die laufende Rente anzupassen sei, rechtfertigt. Die Beschwerdegegnerin hat daher zu Recht ein Revisionsverfahren eingeleitet und im Rahmen dessen ins­besondere weitere medizinische Abklärungen getätigt. 2.2    Was die Kritik der Beschwerdeführerin am Untersuchungsbericht des RAD-Arztes Dr. D.___ betrifft, so erweist sie sich in weiten Teilen als unbegründet. Als erfahrener Rheumatologe ist Dr. D.___ durchaus in der Lage gewesen, die wesentlichen Be­schwerden korrekt zu erfassen und zu würdigen; seine Ausführungen scheinen jeden­falls sachlich fundiert. Auf die Schmerzen und das Lumbalsyndrom ging Dr. D.___ sodann ebenfalls ein, wenn auch eher kurz, so doch fachlich fundiert. Zu den qualita­tiven Anforderungen einer leidensadaptierten Tätigkeit äusserte sich Dr. D.___ ebenfalls genügend ausführlich. Es ist nicht nachvollziehbar, inwiefern seine diesbezüglichen Ausführungen ungenügend sein sollten. Was allerdings die Erhöhung der Arbeitsfähig­keit von 0 % auf 90 % – und damit verbunden die Auseinandersetzung mit den übrigen medizinischen Berichten – betrifft, so erweist sich der Bericht von Dr. D.___ tatsächlich als zu kurz. Immerhin ging Dr. B.___ davon aus, mittels Implantation einer Hüft-Totalendoprothese könne die Arbeitsfähigkeit lediglich auf maximal 50 % gesteigert werden, wobei damals die Beschwerden im Bereich der rechten Hüfte und des rechten Ellbogens noch deutlich weniger ausgeprägt bzw. nicht vorhanden waren. Diesbezüglich besteht ein Widerspruch zwischen den Berichten von Dr. B.___ und Dr. D.___, mit dem sich Dr. D.___ eingehender hätte auseinandersetzen müssen. Hinzu kommt, dass der Bericht von Dr. F.___ vom 27. Januar 2012 grundsätzlich ebenfalls nachvollziehbar und überzeugend erscheint, wobei sich Dr. F.___ auch zu den Diskrepanzen zwischen seiner Einschätzung und jener von Dr. D.___ äusserte. Der Bericht von Dr. F.___ ist jedenfalls – vor allem vor dem Hintergrund, dass Dr. D.___ sich nicht weiter zu den Diskrepanzen zu den früheren Berichten äusserte – geeignet, Zweifel an der Zuver­lässigkeit des Berichtes von Dr. D.___ aufkommen zu lassen. Rechtsprechungsgemäss ist bei solchen Zweifeln an einem versicherungsinternen medizinischen Bericht ein versicherungsexternes Gutachten in Auftrag zu geben (BGE 135 V 465). Die ange­fochtene Verfügung ist daher aufzuheben und die Angelegenheit an die Beschwerde­gegnerin zur Einholung eines versicherungsexternen fachärztlichen Gutachtens zurück­zuweisen.</w:t>
      </w:r>
    </w:p>
    <w:p>
      <w:r>
        <w:rPr>
          <w:b/>
        </w:rPr>
        <w:t>E. 3</w:t>
      </w:r>
    </w:p>
    <w:p>
      <w:r>
        <w:t>3.1    Der Antrag betreffend Wiederherstellung der aufschiebenden Wirkung der Be­schwerde wird mit diesem Entscheid in der Sache selbst gegenstandslos, sodass darüber nicht zu befinden ist. 3.2    Die gemäss Art. 69 Abs. 1 bis des Bundesgesetzes über die Invalidenversicherung (IVG; SR 831.20) zu erhebenden und angesichts des durchschnittlichen Aufwandes auf Fr. 600.-- festzusetzenden Gerichtskosten sind, da die Rückweisung zu weiteren Ab­klärungen rechtsprechungsgemäss hinsichtlich der Kosten- und Entschädigungsfolgen als vollständiges Obsiegen der Beschwerde führenden Partei zu qualifizieren ist, der Beschwerdegegnerin aufzuerlegen. Der Beschwerdeführerin wird der von ihr geleistete Kostenvorschuss in gleicher Höhe zurückerstattet. 3.3    Die Beschwerdegegnerin hat die Beschwerdeführerin sodann mit einer praxis­gemässen Pauschale von Fr. 3’500.-- (einschliesslich Barauslagen und Mehrwertsteuer) zu entschädigen. Demgemäss hat das Versicherungsgericht im Zirkulationsverfahren gemäss Art. 39 VRP entschieden: 1.       In teilweiser Gutheissung der Beschwerde wird die Verfügung vom 25. November 2011 aufgehoben und die Angelegenheit zur Durchführung weiterer Abklärungen und anschliessender Neuverfügung an die Beschwerdegegnerin zurückgewiesen. 2.       Die Beschwerdegegnerin hat die Gerichtskosten von Fr. 600.-- zu bezahlen. Der Beschwerdeführerin wird der von ihr geleistete Kostenvorschuss von Fr. 600.-- zurückerstattet. 3.       Die Beschwerdegegnerin hat die Beschwerdeführerin mit Fr. 3’500.-- (ein­schliesslich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